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3C791C">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244C8E">
                              <w:rPr>
                                <w:b/>
                              </w:rPr>
                              <w:t>024/2017</w:t>
                            </w:r>
                            <w:r w:rsidRPr="00CC26E1">
                              <w:rPr>
                                <w:b/>
                              </w:rPr>
                              <w:t xml:space="preserve"> PROCESSO ADMINISTRATIVO N°</w:t>
                            </w:r>
                            <w:r w:rsidRPr="00CC26E1">
                              <w:rPr>
                                <w:b/>
                                <w:spacing w:val="-10"/>
                              </w:rPr>
                              <w:t xml:space="preserve"> </w:t>
                            </w:r>
                            <w:r w:rsidR="00244C8E">
                              <w:rPr>
                                <w:b/>
                              </w:rPr>
                              <w:t>034</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244C8E">
                        <w:rPr>
                          <w:b/>
                        </w:rPr>
                        <w:t>024/2017</w:t>
                      </w:r>
                      <w:r w:rsidRPr="00CC26E1">
                        <w:rPr>
                          <w:b/>
                        </w:rPr>
                        <w:t xml:space="preserve"> PROCESSO ADMINISTRATIVO N°</w:t>
                      </w:r>
                      <w:r w:rsidRPr="00CC26E1">
                        <w:rPr>
                          <w:b/>
                          <w:spacing w:val="-10"/>
                        </w:rPr>
                        <w:t xml:space="preserve"> </w:t>
                      </w:r>
                      <w:r w:rsidR="00244C8E">
                        <w:rPr>
                          <w:b/>
                        </w:rPr>
                        <w:t>034</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244C8E">
        <w:rPr>
          <w:rFonts w:ascii="Arial" w:hAnsi="Arial" w:cs="Arial"/>
          <w:b/>
          <w:bCs/>
        </w:rPr>
        <w:t>024/2017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244C8E">
        <w:rPr>
          <w:rFonts w:ascii="Arial" w:hAnsi="Arial" w:cs="Arial"/>
          <w:b/>
        </w:rPr>
        <w:t>AQUISIÇÃO DE MATERIAL ELÉTRICO (ALTA TENSÃO) PARA ATENDER AS NECESSIDADES DO MUNICÍPIO DE CAMPO LARGO DO PIAUÍ - PI</w:t>
      </w:r>
      <w:r w:rsidRPr="00B94860">
        <w:rPr>
          <w:rFonts w:ascii="Arial" w:hAnsi="Arial" w:cs="Arial"/>
          <w:b/>
        </w:rPr>
        <w:t>.</w:t>
      </w:r>
    </w:p>
    <w:p w:rsidR="00B94860" w:rsidRPr="00B94860" w:rsidRDefault="003E3450" w:rsidP="00B94860">
      <w:pPr>
        <w:tabs>
          <w:tab w:val="left" w:pos="0"/>
          <w:tab w:val="left" w:pos="1134"/>
          <w:tab w:val="left" w:pos="1985"/>
        </w:tabs>
        <w:jc w:val="both"/>
        <w:outlineLvl w:val="0"/>
        <w:rPr>
          <w:rFonts w:ascii="Arial" w:hAnsi="Arial" w:cs="Arial"/>
          <w:b/>
        </w:rPr>
      </w:pPr>
      <w:r>
        <w:rPr>
          <w:rFonts w:ascii="Arial" w:hAnsi="Arial" w:cs="Arial"/>
          <w:b/>
        </w:rPr>
        <w:t>DATA DA REALIZAÇÃO: 27</w:t>
      </w:r>
      <w:r w:rsidR="00B94860" w:rsidRPr="00B94860">
        <w:rPr>
          <w:rFonts w:ascii="Arial" w:hAnsi="Arial" w:cs="Arial"/>
          <w:b/>
        </w:rPr>
        <w:t xml:space="preserve"> </w:t>
      </w:r>
      <w:r w:rsidR="003367D0">
        <w:rPr>
          <w:rFonts w:ascii="Arial" w:hAnsi="Arial" w:cs="Arial"/>
          <w:b/>
        </w:rPr>
        <w:t>(</w:t>
      </w:r>
      <w:r>
        <w:rPr>
          <w:rFonts w:ascii="Arial" w:hAnsi="Arial" w:cs="Arial"/>
          <w:b/>
        </w:rPr>
        <w:t>vinte e sete</w:t>
      </w:r>
      <w:r w:rsidR="003367D0">
        <w:rPr>
          <w:rFonts w:ascii="Arial" w:hAnsi="Arial" w:cs="Arial"/>
          <w:b/>
        </w:rPr>
        <w:t xml:space="preserve">) de </w:t>
      </w:r>
      <w:r>
        <w:rPr>
          <w:rFonts w:ascii="Arial" w:hAnsi="Arial" w:cs="Arial"/>
          <w:b/>
        </w:rPr>
        <w:t xml:space="preserve">julho de 2017. HORÁRIO: </w:t>
      </w:r>
      <w:proofErr w:type="gramStart"/>
      <w:r>
        <w:rPr>
          <w:rFonts w:ascii="Arial" w:hAnsi="Arial" w:cs="Arial"/>
          <w:b/>
        </w:rPr>
        <w:t>11</w:t>
      </w:r>
      <w:r w:rsidR="003367D0">
        <w:rPr>
          <w:rFonts w:ascii="Arial" w:hAnsi="Arial" w:cs="Arial"/>
          <w:b/>
        </w:rPr>
        <w:t>:3</w:t>
      </w:r>
      <w:r>
        <w:rPr>
          <w:rFonts w:ascii="Arial" w:hAnsi="Arial" w:cs="Arial"/>
          <w:b/>
        </w:rPr>
        <w:t>0</w:t>
      </w:r>
      <w:proofErr w:type="gramEnd"/>
      <w:r>
        <w:rPr>
          <w:rFonts w:ascii="Arial" w:hAnsi="Arial" w:cs="Arial"/>
          <w:b/>
        </w:rPr>
        <w:t xml:space="preserve"> (onze</w:t>
      </w:r>
      <w:r w:rsidR="00244C8E">
        <w:rPr>
          <w:rFonts w:ascii="Arial" w:hAnsi="Arial" w:cs="Arial"/>
          <w:b/>
        </w:rPr>
        <w:t xml:space="preserve"> e trinta</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3E3450">
        <w:rPr>
          <w:rFonts w:ascii="Arial" w:hAnsi="Arial" w:cs="Arial"/>
        </w:rPr>
        <w:t xml:space="preserve">, realizará, às </w:t>
      </w:r>
      <w:proofErr w:type="gramStart"/>
      <w:r w:rsidR="003E3450">
        <w:rPr>
          <w:rFonts w:ascii="Arial" w:hAnsi="Arial" w:cs="Arial"/>
        </w:rPr>
        <w:t>11</w:t>
      </w:r>
      <w:r w:rsidR="003367D0">
        <w:rPr>
          <w:rFonts w:ascii="Arial" w:hAnsi="Arial" w:cs="Arial"/>
        </w:rPr>
        <w:t>:3</w:t>
      </w:r>
      <w:r w:rsidRPr="00B94860">
        <w:rPr>
          <w:rFonts w:ascii="Arial" w:hAnsi="Arial" w:cs="Arial"/>
        </w:rPr>
        <w:t>0</w:t>
      </w:r>
      <w:proofErr w:type="gramEnd"/>
      <w:r w:rsidRPr="00B94860">
        <w:rPr>
          <w:rFonts w:ascii="Arial" w:hAnsi="Arial" w:cs="Arial"/>
        </w:rPr>
        <w:t xml:space="preserve"> (</w:t>
      </w:r>
      <w:r w:rsidR="003E3450">
        <w:rPr>
          <w:rFonts w:ascii="Arial" w:hAnsi="Arial" w:cs="Arial"/>
        </w:rPr>
        <w:t>vinte e sete) horas no dia 27</w:t>
      </w:r>
      <w:r w:rsidR="003367D0">
        <w:rPr>
          <w:rFonts w:ascii="Arial" w:hAnsi="Arial" w:cs="Arial"/>
        </w:rPr>
        <w:t xml:space="preserve"> (</w:t>
      </w:r>
      <w:r w:rsidR="003E3450">
        <w:rPr>
          <w:rFonts w:ascii="Arial" w:hAnsi="Arial" w:cs="Arial"/>
        </w:rPr>
        <w:t>vinte e sete</w:t>
      </w:r>
      <w:r w:rsidR="00244C8E">
        <w:rPr>
          <w:rFonts w:ascii="Arial" w:hAnsi="Arial" w:cs="Arial"/>
        </w:rPr>
        <w:t>) de julh</w:t>
      </w:r>
      <w:r w:rsidR="003367D0">
        <w:rPr>
          <w:rFonts w:ascii="Arial" w:hAnsi="Arial" w:cs="Arial"/>
        </w:rPr>
        <w:t>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w:t>
      </w:r>
      <w:r w:rsidR="003E3450">
        <w:rPr>
          <w:rFonts w:ascii="Arial" w:hAnsi="Arial" w:cs="Arial"/>
          <w:b/>
        </w:rPr>
        <w:t>,  tipo  MENOR  PREÇO  POR  LOTE</w:t>
      </w:r>
      <w:r w:rsidRPr="00B94860">
        <w:rPr>
          <w:rFonts w:ascii="Arial" w:hAnsi="Arial" w:cs="Arial"/>
          <w:b/>
        </w:rPr>
        <w:t>,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244C8E">
        <w:rPr>
          <w:rFonts w:ascii="Arial" w:hAnsi="Arial" w:cs="Arial"/>
          <w:b/>
          <w:bCs/>
        </w:rPr>
        <w:t>AQUISIÇÃO DE MATERIAL ELÉTRICO (ALTA TENSÃO) PARA ATENDER AS NECESSIDADES DO MUNICÍPIO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1.1 - Esta licitação tem por objeto a </w:t>
      </w:r>
      <w:r w:rsidR="00244C8E">
        <w:rPr>
          <w:rFonts w:ascii="Arial" w:hAnsi="Arial" w:cs="Arial"/>
        </w:rPr>
        <w:t>AQUISIÇÃO DE MATERIAL ELÉTRICO (ALTA TENSÃO) PARA ATENDER AS NECESSIDADES DO MUNICÍPIO DE CAMPO LARGO DO PIAUÍ - PI</w:t>
      </w:r>
      <w:r w:rsidRPr="00B94860">
        <w:rPr>
          <w:rFonts w:ascii="Arial" w:hAnsi="Arial" w:cs="Arial"/>
        </w:rPr>
        <w:t>, com detalhamento, especificações e demais exigências previstas no (s) Anexo (s) 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lastRenderedPageBreak/>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w:t>
      </w:r>
      <w:proofErr w:type="gramStart"/>
      <w:r w:rsidR="00B94860" w:rsidRPr="00024EC0">
        <w:rPr>
          <w:rFonts w:ascii="Arial" w:hAnsi="Arial"/>
        </w:rPr>
        <w:t xml:space="preserve">  </w:t>
      </w:r>
      <w:proofErr w:type="gramEnd"/>
      <w:r w:rsidR="00B94860" w:rsidRPr="00024EC0">
        <w:rPr>
          <w:rFonts w:ascii="Arial" w:hAnsi="Arial"/>
        </w:rPr>
        <w:t>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Geral  da União nº 516, de 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lastRenderedPageBreak/>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44C8E">
        <w:rPr>
          <w:rFonts w:ascii="Arial" w:hAnsi="Arial" w:cs="Arial"/>
          <w:sz w:val="24"/>
          <w:szCs w:val="26"/>
        </w:rPr>
        <w:t>024/2017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44C8E">
        <w:rPr>
          <w:rFonts w:ascii="Arial" w:hAnsi="Arial" w:cs="Arial"/>
          <w:sz w:val="24"/>
          <w:szCs w:val="26"/>
        </w:rPr>
        <w:t>024/2017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lastRenderedPageBreak/>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lastRenderedPageBreak/>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 xml:space="preserve">ato de registro ou autorização para </w:t>
      </w:r>
      <w:r w:rsidRPr="00BA540E">
        <w:rPr>
          <w:rFonts w:ascii="Arial" w:hAnsi="Arial"/>
          <w:sz w:val="24"/>
          <w:szCs w:val="24"/>
          <w:u w:val="single"/>
        </w:rPr>
        <w:lastRenderedPageBreak/>
        <w:t>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w:t>
      </w:r>
      <w:r w:rsidRPr="00BA540E">
        <w:rPr>
          <w:rFonts w:ascii="Arial" w:hAnsi="Arial" w:cs="Arial"/>
        </w:rPr>
        <w:lastRenderedPageBreak/>
        <w:t xml:space="preserve">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w:t>
      </w:r>
      <w:r w:rsidRPr="00B94860">
        <w:rPr>
          <w:rFonts w:ascii="Arial" w:hAnsi="Arial" w:cs="Arial"/>
        </w:rPr>
        <w:lastRenderedPageBreak/>
        <w:t xml:space="preserve">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Orçamento Geral do Município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 – Quando a Adjudicatária, dentro do prazo de validade de sua proposta, recusar-se a assinar o contrato, serão convocadas as demais licitantes classificadas, </w:t>
      </w:r>
      <w:r w:rsidRPr="00B94860">
        <w:rPr>
          <w:rFonts w:ascii="Arial" w:hAnsi="Arial" w:cs="Arial"/>
        </w:rPr>
        <w:lastRenderedPageBreak/>
        <w:t>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lastRenderedPageBreak/>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244C8E">
        <w:rPr>
          <w:rFonts w:ascii="Arial" w:hAnsi="Arial" w:cs="Arial"/>
        </w:rPr>
        <w:t>03</w:t>
      </w:r>
      <w:r w:rsidR="00D41F13" w:rsidRPr="00B94860">
        <w:rPr>
          <w:rFonts w:ascii="Arial" w:hAnsi="Arial" w:cs="Arial"/>
        </w:rPr>
        <w:t xml:space="preserve"> de </w:t>
      </w:r>
      <w:r w:rsidR="00244C8E">
        <w:rPr>
          <w:rFonts w:ascii="Arial" w:hAnsi="Arial" w:cs="Arial"/>
        </w:rPr>
        <w:t>julh</w:t>
      </w:r>
      <w:r w:rsidR="004D1E65">
        <w:rPr>
          <w:rFonts w:ascii="Arial" w:hAnsi="Arial" w:cs="Arial"/>
        </w:rPr>
        <w:t>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F37C24" w:rsidRPr="00293D50" w:rsidRDefault="00F37C24" w:rsidP="00F37C24">
      <w:pPr>
        <w:autoSpaceDE w:val="0"/>
        <w:autoSpaceDN w:val="0"/>
        <w:adjustRightInd w:val="0"/>
        <w:spacing w:before="120" w:after="120"/>
        <w:jc w:val="center"/>
        <w:rPr>
          <w:rFonts w:ascii="Arial" w:hAnsi="Arial" w:cs="Arial"/>
          <w:b/>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1. INTRODUÇÃO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b/>
          <w:bCs/>
          <w:sz w:val="22"/>
          <w:szCs w:val="22"/>
        </w:rPr>
        <w:t xml:space="preserve">1.1 </w:t>
      </w:r>
      <w:r w:rsidRPr="00293D50">
        <w:rPr>
          <w:rFonts w:ascii="Arial" w:hAnsi="Arial" w:cs="Arial"/>
          <w:sz w:val="22"/>
          <w:szCs w:val="22"/>
        </w:rPr>
        <w:t>Este Termo de Referência foi elaborado em cumprimento ao disposto na Lei nº 10.520, e, subsidiariamente, pela Lei Federal nº 8.666, de 21.06.1993 e alterações posteriores e pela Lei Complementar nº 123/06 de 14/12/2006, e nas demais normas legais e regulamentares.</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2. OBJETO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sz w:val="22"/>
          <w:szCs w:val="22"/>
        </w:rPr>
        <w:t xml:space="preserve">2.1. </w:t>
      </w:r>
      <w:r w:rsidR="00244C8E">
        <w:rPr>
          <w:rFonts w:ascii="Arial" w:hAnsi="Arial" w:cs="Arial"/>
          <w:sz w:val="22"/>
          <w:szCs w:val="22"/>
        </w:rPr>
        <w:t>AQUISIÇÃO DE MATERIAL ELÉTRICO (ALTA TENSÃO) PARA ATENDER AS NECESSIDADES DO MUNICÍPIO DE CAMPO LARGO DO PIAUÍ - PI</w:t>
      </w:r>
      <w:r>
        <w:rPr>
          <w:rFonts w:ascii="Arial" w:hAnsi="Arial" w:cs="Arial"/>
          <w:bCs/>
          <w:sz w:val="22"/>
          <w:szCs w:val="22"/>
        </w:rPr>
        <w:t>, de</w:t>
      </w:r>
      <w:r w:rsidRPr="00293D50">
        <w:rPr>
          <w:rFonts w:ascii="Arial" w:hAnsi="Arial" w:cs="Arial"/>
          <w:sz w:val="22"/>
          <w:szCs w:val="22"/>
        </w:rPr>
        <w:t xml:space="preserve"> acordo com as quantidades e especificações constantes neste Termo de Referência.</w:t>
      </w:r>
    </w:p>
    <w:p w:rsidR="00F37C24" w:rsidRDefault="00F37C24" w:rsidP="00F37C24">
      <w:pPr>
        <w:autoSpaceDE w:val="0"/>
        <w:autoSpaceDN w:val="0"/>
        <w:adjustRightInd w:val="0"/>
        <w:spacing w:before="120" w:after="120"/>
        <w:jc w:val="both"/>
        <w:rPr>
          <w:rFonts w:ascii="Arial" w:hAnsi="Arial" w:cs="Arial"/>
          <w:sz w:val="22"/>
          <w:szCs w:val="22"/>
        </w:rPr>
      </w:pPr>
    </w:p>
    <w:p w:rsidR="00F37C24" w:rsidRPr="00293D50" w:rsidRDefault="00F37C24" w:rsidP="00F37C24">
      <w:pPr>
        <w:autoSpaceDE w:val="0"/>
        <w:autoSpaceDN w:val="0"/>
        <w:adjustRightInd w:val="0"/>
        <w:spacing w:before="120" w:after="120"/>
        <w:jc w:val="both"/>
        <w:rPr>
          <w:rFonts w:ascii="Arial" w:hAnsi="Arial" w:cs="Arial"/>
          <w:sz w:val="22"/>
          <w:szCs w:val="22"/>
        </w:rPr>
      </w:pPr>
    </w:p>
    <w:p w:rsidR="006A0E99" w:rsidRDefault="00F37C24" w:rsidP="006A0E99">
      <w:pPr>
        <w:autoSpaceDE w:val="0"/>
        <w:autoSpaceDN w:val="0"/>
        <w:adjustRightInd w:val="0"/>
        <w:spacing w:before="120" w:after="120"/>
        <w:jc w:val="both"/>
        <w:rPr>
          <w:rFonts w:ascii="Arial" w:hAnsi="Arial" w:cs="Arial"/>
          <w:b/>
          <w:sz w:val="22"/>
          <w:szCs w:val="22"/>
        </w:rPr>
      </w:pPr>
      <w:r>
        <w:rPr>
          <w:rFonts w:ascii="Arial" w:hAnsi="Arial" w:cs="Arial"/>
          <w:b/>
          <w:sz w:val="22"/>
          <w:szCs w:val="22"/>
        </w:rPr>
        <w:t>3</w:t>
      </w:r>
      <w:r w:rsidRPr="00293D50">
        <w:rPr>
          <w:rFonts w:ascii="Arial" w:hAnsi="Arial" w:cs="Arial"/>
          <w:b/>
          <w:sz w:val="22"/>
          <w:szCs w:val="22"/>
        </w:rPr>
        <w:t>. ESPECIFICAÇÕES BÁSICAS DO OBJETO E EXIGÊNCIAS</w:t>
      </w:r>
    </w:p>
    <w:p w:rsidR="00F37C24" w:rsidRPr="006A0E99" w:rsidRDefault="008344D6" w:rsidP="006A0E99">
      <w:pPr>
        <w:autoSpaceDE w:val="0"/>
        <w:autoSpaceDN w:val="0"/>
        <w:adjustRightInd w:val="0"/>
        <w:spacing w:before="120" w:after="120"/>
        <w:jc w:val="both"/>
        <w:rPr>
          <w:rFonts w:ascii="Arial" w:hAnsi="Arial" w:cs="Arial"/>
          <w:b/>
          <w:sz w:val="22"/>
          <w:szCs w:val="22"/>
        </w:rPr>
      </w:pPr>
      <w:r>
        <w:rPr>
          <w:rFonts w:ascii="Arial" w:hAnsi="Arial" w:cs="Arial"/>
          <w:sz w:val="22"/>
          <w:szCs w:val="22"/>
        </w:rPr>
        <w:t xml:space="preserve">O valor total estimado para execução do objeto do presente Projeto Básico é de </w:t>
      </w:r>
      <w:r w:rsidR="006A0E99">
        <w:rPr>
          <w:rFonts w:ascii="Arial" w:hAnsi="Arial" w:cs="Arial"/>
          <w:sz w:val="22"/>
          <w:szCs w:val="22"/>
        </w:rPr>
        <w:t>R$</w:t>
      </w:r>
      <w:r w:rsidR="003367D0">
        <w:rPr>
          <w:rFonts w:ascii="Arial" w:hAnsi="Arial" w:cs="Arial"/>
          <w:sz w:val="22"/>
          <w:szCs w:val="22"/>
        </w:rPr>
        <w:t xml:space="preserve"> 14.000,00</w:t>
      </w:r>
      <w:r w:rsidR="006A0E99">
        <w:rPr>
          <w:rFonts w:ascii="Arial" w:hAnsi="Arial" w:cs="Arial"/>
          <w:sz w:val="22"/>
          <w:szCs w:val="22"/>
        </w:rPr>
        <w:t xml:space="preserve">, tendo por referência os preços constantes da pesquisa de preços realizada. </w:t>
      </w:r>
    </w:p>
    <w:p w:rsidR="00CC471C" w:rsidRDefault="00CC471C" w:rsidP="00621389">
      <w:pPr>
        <w:rPr>
          <w:rFonts w:ascii="Arial" w:hAnsi="Arial" w:cs="Arial"/>
          <w: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465"/>
        <w:gridCol w:w="1701"/>
        <w:gridCol w:w="1418"/>
        <w:gridCol w:w="1276"/>
      </w:tblGrid>
      <w:tr w:rsidR="00244C8E" w:rsidRPr="001C367F" w:rsidTr="003E3450">
        <w:trPr>
          <w:trHeight w:hRule="exact" w:val="259"/>
        </w:trPr>
        <w:tc>
          <w:tcPr>
            <w:tcW w:w="638" w:type="dxa"/>
            <w:shd w:val="clear" w:color="auto" w:fill="auto"/>
          </w:tcPr>
          <w:p w:rsidR="00244C8E" w:rsidRPr="001C367F" w:rsidRDefault="00244C8E" w:rsidP="00D804ED">
            <w:pPr>
              <w:pStyle w:val="TableParagraph"/>
              <w:rPr>
                <w:sz w:val="20"/>
              </w:rPr>
            </w:pPr>
            <w:r w:rsidRPr="001C367F">
              <w:rPr>
                <w:w w:val="105"/>
                <w:sz w:val="20"/>
              </w:rPr>
              <w:t>ITEM</w:t>
            </w:r>
          </w:p>
        </w:tc>
        <w:tc>
          <w:tcPr>
            <w:tcW w:w="4465" w:type="dxa"/>
            <w:shd w:val="clear" w:color="auto" w:fill="auto"/>
          </w:tcPr>
          <w:p w:rsidR="00244C8E" w:rsidRPr="001C367F" w:rsidRDefault="00244C8E" w:rsidP="00D804ED">
            <w:pPr>
              <w:pStyle w:val="TableParagraph"/>
              <w:ind w:left="95"/>
              <w:rPr>
                <w:sz w:val="20"/>
              </w:rPr>
            </w:pPr>
            <w:r w:rsidRPr="001C367F">
              <w:rPr>
                <w:w w:val="105"/>
                <w:sz w:val="20"/>
              </w:rPr>
              <w:t>DESCRIÇÃO</w:t>
            </w:r>
          </w:p>
        </w:tc>
        <w:tc>
          <w:tcPr>
            <w:tcW w:w="1701" w:type="dxa"/>
            <w:shd w:val="clear" w:color="auto" w:fill="auto"/>
          </w:tcPr>
          <w:p w:rsidR="00244C8E" w:rsidRPr="001C367F" w:rsidRDefault="00244C8E" w:rsidP="00D804ED">
            <w:pPr>
              <w:pStyle w:val="TableParagraph"/>
              <w:ind w:left="194" w:right="183"/>
              <w:jc w:val="center"/>
              <w:rPr>
                <w:sz w:val="20"/>
              </w:rPr>
            </w:pPr>
            <w:r w:rsidRPr="001C367F">
              <w:rPr>
                <w:w w:val="105"/>
                <w:sz w:val="20"/>
              </w:rPr>
              <w:t>QUANTIDADE</w:t>
            </w:r>
          </w:p>
        </w:tc>
        <w:tc>
          <w:tcPr>
            <w:tcW w:w="1418" w:type="dxa"/>
            <w:tcBorders>
              <w:bottom w:val="single" w:sz="4" w:space="0" w:color="auto"/>
              <w:right w:val="single" w:sz="4" w:space="0" w:color="auto"/>
            </w:tcBorders>
            <w:shd w:val="clear" w:color="auto" w:fill="auto"/>
          </w:tcPr>
          <w:p w:rsidR="00244C8E" w:rsidRPr="001C367F" w:rsidRDefault="00244C8E" w:rsidP="00D804ED">
            <w:pPr>
              <w:pStyle w:val="TableParagraph"/>
              <w:ind w:left="194" w:right="183"/>
              <w:rPr>
                <w:w w:val="105"/>
                <w:sz w:val="20"/>
              </w:rPr>
            </w:pPr>
            <w:r w:rsidRPr="001C367F">
              <w:rPr>
                <w:w w:val="105"/>
                <w:sz w:val="20"/>
              </w:rPr>
              <w:t>VALOR UNIT.</w:t>
            </w:r>
          </w:p>
        </w:tc>
        <w:tc>
          <w:tcPr>
            <w:tcW w:w="1276" w:type="dxa"/>
            <w:tcBorders>
              <w:left w:val="single" w:sz="4" w:space="0" w:color="auto"/>
            </w:tcBorders>
            <w:shd w:val="clear" w:color="auto" w:fill="auto"/>
          </w:tcPr>
          <w:p w:rsidR="00244C8E" w:rsidRPr="001C367F" w:rsidRDefault="00244C8E" w:rsidP="00D804ED">
            <w:pPr>
              <w:pStyle w:val="TableParagraph"/>
              <w:ind w:left="0" w:right="183"/>
              <w:rPr>
                <w:w w:val="105"/>
                <w:sz w:val="20"/>
              </w:rPr>
            </w:pPr>
            <w:r w:rsidRPr="001C367F">
              <w:rPr>
                <w:w w:val="105"/>
                <w:sz w:val="20"/>
              </w:rPr>
              <w:t xml:space="preserve"> V.TOTAL</w:t>
            </w: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01</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Cabo</w:t>
            </w:r>
            <w:proofErr w:type="spellEnd"/>
            <w:r w:rsidRPr="001C367F">
              <w:rPr>
                <w:w w:val="105"/>
                <w:sz w:val="20"/>
              </w:rPr>
              <w:t xml:space="preserve"> de aluminio4awg CAASWAN c/alma</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500</w:t>
            </w:r>
          </w:p>
        </w:tc>
        <w:tc>
          <w:tcPr>
            <w:tcW w:w="1418" w:type="dxa"/>
            <w:tcBorders>
              <w:top w:val="single" w:sz="4" w:space="0" w:color="auto"/>
              <w:bottom w:val="single" w:sz="4" w:space="0" w:color="auto"/>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24,91</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02</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Cabo</w:t>
            </w:r>
            <w:proofErr w:type="spellEnd"/>
            <w:r w:rsidRPr="001C367F">
              <w:rPr>
                <w:w w:val="105"/>
                <w:sz w:val="20"/>
              </w:rPr>
              <w:t xml:space="preserve"> de </w:t>
            </w:r>
            <w:proofErr w:type="spellStart"/>
            <w:r w:rsidRPr="001C367F">
              <w:rPr>
                <w:w w:val="105"/>
                <w:sz w:val="20"/>
              </w:rPr>
              <w:t>alumínio</w:t>
            </w:r>
            <w:proofErr w:type="spellEnd"/>
            <w:r w:rsidRPr="001C367F">
              <w:rPr>
                <w:w w:val="105"/>
                <w:sz w:val="20"/>
              </w:rPr>
              <w:t xml:space="preserve"> 4awg CA rose s/alma</w:t>
            </w:r>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300</w:t>
            </w:r>
          </w:p>
        </w:tc>
        <w:tc>
          <w:tcPr>
            <w:tcW w:w="1418" w:type="dxa"/>
            <w:tcBorders>
              <w:top w:val="single" w:sz="4" w:space="0" w:color="auto"/>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21,50</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03</w:t>
            </w:r>
          </w:p>
        </w:tc>
        <w:tc>
          <w:tcPr>
            <w:tcW w:w="4465" w:type="dxa"/>
            <w:shd w:val="clear" w:color="auto" w:fill="auto"/>
          </w:tcPr>
          <w:p w:rsidR="003E3450" w:rsidRPr="001C367F" w:rsidRDefault="003E3450" w:rsidP="00D804ED">
            <w:pPr>
              <w:pStyle w:val="TableParagraph"/>
              <w:spacing w:before="6"/>
              <w:ind w:left="95"/>
              <w:rPr>
                <w:sz w:val="20"/>
              </w:rPr>
            </w:pPr>
            <w:r w:rsidRPr="001C367F">
              <w:rPr>
                <w:sz w:val="20"/>
              </w:rPr>
              <w:t xml:space="preserve">Armação1x2  </w:t>
            </w:r>
            <w:proofErr w:type="spellStart"/>
            <w:r w:rsidRPr="001C367F">
              <w:rPr>
                <w:sz w:val="20"/>
              </w:rPr>
              <w:t>pesada</w:t>
            </w:r>
            <w:proofErr w:type="spellEnd"/>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300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20,79</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04</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Armação</w:t>
            </w:r>
            <w:proofErr w:type="spellEnd"/>
            <w:r w:rsidRPr="001C367F">
              <w:rPr>
                <w:w w:val="105"/>
                <w:sz w:val="20"/>
              </w:rPr>
              <w:t xml:space="preserve"> 2x3 </w:t>
            </w:r>
            <w:proofErr w:type="spellStart"/>
            <w:r w:rsidRPr="001C367F">
              <w:rPr>
                <w:w w:val="105"/>
                <w:sz w:val="20"/>
              </w:rPr>
              <w:t>pesada</w:t>
            </w:r>
            <w:proofErr w:type="spellEnd"/>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150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20,41</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05</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Parafuso</w:t>
            </w:r>
            <w:proofErr w:type="spellEnd"/>
            <w:r w:rsidRPr="001C367F">
              <w:rPr>
                <w:w w:val="105"/>
                <w:sz w:val="20"/>
              </w:rPr>
              <w:t xml:space="preserve"> </w:t>
            </w:r>
            <w:proofErr w:type="spellStart"/>
            <w:r w:rsidRPr="001C367F">
              <w:rPr>
                <w:w w:val="105"/>
                <w:sz w:val="20"/>
              </w:rPr>
              <w:t>máquina</w:t>
            </w:r>
            <w:proofErr w:type="spellEnd"/>
            <w:r w:rsidRPr="001C367F">
              <w:rPr>
                <w:w w:val="105"/>
                <w:sz w:val="20"/>
              </w:rPr>
              <w:t xml:space="preserve"> 5/8x8(16x200)</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100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7,14</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06</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Luminária</w:t>
            </w:r>
            <w:proofErr w:type="spellEnd"/>
            <w:r w:rsidRPr="001C367F">
              <w:rPr>
                <w:w w:val="105"/>
                <w:sz w:val="20"/>
              </w:rPr>
              <w:t xml:space="preserve"> </w:t>
            </w:r>
            <w:proofErr w:type="spellStart"/>
            <w:r w:rsidRPr="001C367F">
              <w:rPr>
                <w:w w:val="105"/>
                <w:sz w:val="20"/>
              </w:rPr>
              <w:t>capacete</w:t>
            </w:r>
            <w:proofErr w:type="spellEnd"/>
            <w:r w:rsidRPr="001C367F">
              <w:rPr>
                <w:w w:val="105"/>
                <w:sz w:val="20"/>
              </w:rPr>
              <w:t xml:space="preserve"> E27LL100 </w:t>
            </w:r>
            <w:proofErr w:type="spellStart"/>
            <w:r w:rsidRPr="001C367F">
              <w:rPr>
                <w:w w:val="105"/>
                <w:sz w:val="20"/>
              </w:rPr>
              <w:t>sem</w:t>
            </w:r>
            <w:proofErr w:type="spellEnd"/>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150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40,00</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07</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Braço</w:t>
            </w:r>
            <w:proofErr w:type="spellEnd"/>
            <w:r w:rsidRPr="001C367F">
              <w:rPr>
                <w:w w:val="105"/>
                <w:sz w:val="20"/>
              </w:rPr>
              <w:t xml:space="preserve"> p/</w:t>
            </w:r>
            <w:proofErr w:type="spellStart"/>
            <w:r w:rsidRPr="001C367F">
              <w:rPr>
                <w:w w:val="105"/>
                <w:sz w:val="20"/>
              </w:rPr>
              <w:t>luminária</w:t>
            </w:r>
            <w:proofErr w:type="spellEnd"/>
            <w:r w:rsidRPr="001C367F">
              <w:rPr>
                <w:w w:val="105"/>
                <w:sz w:val="20"/>
              </w:rPr>
              <w:t xml:space="preserve"> </w:t>
            </w:r>
            <w:proofErr w:type="spellStart"/>
            <w:r w:rsidRPr="001C367F">
              <w:rPr>
                <w:w w:val="105"/>
                <w:sz w:val="20"/>
              </w:rPr>
              <w:t>capacete</w:t>
            </w:r>
            <w:proofErr w:type="spellEnd"/>
            <w:r w:rsidRPr="001C367F">
              <w:rPr>
                <w:w w:val="105"/>
                <w:sz w:val="20"/>
              </w:rPr>
              <w:t xml:space="preserve"> </w:t>
            </w:r>
            <w:proofErr w:type="spellStart"/>
            <w:r w:rsidRPr="001C367F">
              <w:rPr>
                <w:w w:val="105"/>
                <w:sz w:val="20"/>
              </w:rPr>
              <w:t>eletrolítico</w:t>
            </w:r>
            <w:proofErr w:type="spellEnd"/>
            <w:r w:rsidRPr="001C367F">
              <w:rPr>
                <w:w w:val="105"/>
                <w:sz w:val="20"/>
              </w:rPr>
              <w:t xml:space="preserve"> BLO1R</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220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23,30</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62"/>
        </w:trPr>
        <w:tc>
          <w:tcPr>
            <w:tcW w:w="638" w:type="dxa"/>
            <w:tcBorders>
              <w:bottom w:val="single" w:sz="2" w:space="0" w:color="000000"/>
            </w:tcBorders>
            <w:shd w:val="clear" w:color="auto" w:fill="auto"/>
          </w:tcPr>
          <w:p w:rsidR="003E3450" w:rsidRPr="001C367F" w:rsidRDefault="003E3450" w:rsidP="00D804ED">
            <w:pPr>
              <w:pStyle w:val="TableParagraph"/>
              <w:rPr>
                <w:sz w:val="20"/>
              </w:rPr>
            </w:pPr>
            <w:r w:rsidRPr="001C367F">
              <w:rPr>
                <w:w w:val="105"/>
                <w:sz w:val="20"/>
              </w:rPr>
              <w:t>08</w:t>
            </w:r>
          </w:p>
        </w:tc>
        <w:tc>
          <w:tcPr>
            <w:tcW w:w="4465" w:type="dxa"/>
            <w:tcBorders>
              <w:bottom w:val="single" w:sz="2" w:space="0" w:color="000000"/>
            </w:tcBorders>
            <w:shd w:val="clear" w:color="auto" w:fill="auto"/>
          </w:tcPr>
          <w:p w:rsidR="003E3450" w:rsidRPr="001C367F" w:rsidRDefault="003E3450" w:rsidP="00D804ED">
            <w:pPr>
              <w:pStyle w:val="TableParagraph"/>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mercúrio</w:t>
            </w:r>
            <w:proofErr w:type="spellEnd"/>
            <w:r w:rsidRPr="001C367F">
              <w:rPr>
                <w:w w:val="105"/>
                <w:sz w:val="20"/>
              </w:rPr>
              <w:t xml:space="preserve"> 80W</w:t>
            </w:r>
          </w:p>
        </w:tc>
        <w:tc>
          <w:tcPr>
            <w:tcW w:w="1701" w:type="dxa"/>
            <w:tcBorders>
              <w:bottom w:val="single" w:sz="2" w:space="0" w:color="000000"/>
            </w:tcBorders>
            <w:shd w:val="clear" w:color="auto" w:fill="auto"/>
          </w:tcPr>
          <w:p w:rsidR="003E3450" w:rsidRPr="001C367F" w:rsidRDefault="003E3450" w:rsidP="00D804ED">
            <w:pPr>
              <w:pStyle w:val="TableParagraph"/>
              <w:ind w:left="183" w:right="183"/>
              <w:jc w:val="center"/>
              <w:rPr>
                <w:sz w:val="20"/>
              </w:rPr>
            </w:pPr>
            <w:r w:rsidRPr="001C367F">
              <w:rPr>
                <w:w w:val="105"/>
                <w:sz w:val="20"/>
              </w:rPr>
              <w:t>500</w:t>
            </w:r>
          </w:p>
        </w:tc>
        <w:tc>
          <w:tcPr>
            <w:tcW w:w="1418" w:type="dxa"/>
            <w:tcBorders>
              <w:bottom w:val="single" w:sz="2" w:space="0" w:color="000000"/>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12,50</w:t>
            </w:r>
          </w:p>
        </w:tc>
        <w:tc>
          <w:tcPr>
            <w:tcW w:w="1276" w:type="dxa"/>
            <w:tcBorders>
              <w:left w:val="single" w:sz="4" w:space="0" w:color="auto"/>
              <w:bottom w:val="single" w:sz="2" w:space="0" w:color="000000"/>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2"/>
        </w:trPr>
        <w:tc>
          <w:tcPr>
            <w:tcW w:w="638" w:type="dxa"/>
            <w:tcBorders>
              <w:top w:val="single" w:sz="2" w:space="0" w:color="000000"/>
            </w:tcBorders>
            <w:shd w:val="clear" w:color="auto" w:fill="auto"/>
          </w:tcPr>
          <w:p w:rsidR="003E3450" w:rsidRPr="001C367F" w:rsidRDefault="003E3450" w:rsidP="00D804ED">
            <w:pPr>
              <w:pStyle w:val="TableParagraph"/>
              <w:spacing w:before="6"/>
              <w:rPr>
                <w:sz w:val="20"/>
              </w:rPr>
            </w:pPr>
            <w:r w:rsidRPr="001C367F">
              <w:rPr>
                <w:w w:val="105"/>
                <w:sz w:val="20"/>
              </w:rPr>
              <w:t>09</w:t>
            </w:r>
          </w:p>
        </w:tc>
        <w:tc>
          <w:tcPr>
            <w:tcW w:w="4465" w:type="dxa"/>
            <w:tcBorders>
              <w:top w:val="single" w:sz="2" w:space="0" w:color="000000"/>
            </w:tcBorders>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Reator</w:t>
            </w:r>
            <w:proofErr w:type="spellEnd"/>
            <w:r w:rsidRPr="001C367F">
              <w:rPr>
                <w:w w:val="105"/>
                <w:sz w:val="20"/>
              </w:rPr>
              <w:t xml:space="preserve"> VM 80W EXTERNO AF</w:t>
            </w:r>
          </w:p>
        </w:tc>
        <w:tc>
          <w:tcPr>
            <w:tcW w:w="1701" w:type="dxa"/>
            <w:tcBorders>
              <w:top w:val="single" w:sz="2" w:space="0" w:color="000000"/>
            </w:tcBorders>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250</w:t>
            </w:r>
          </w:p>
        </w:tc>
        <w:tc>
          <w:tcPr>
            <w:tcW w:w="1418" w:type="dxa"/>
            <w:tcBorders>
              <w:top w:val="single" w:sz="2" w:space="0" w:color="000000"/>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51,65</w:t>
            </w:r>
          </w:p>
        </w:tc>
        <w:tc>
          <w:tcPr>
            <w:tcW w:w="1276" w:type="dxa"/>
            <w:tcBorders>
              <w:top w:val="single" w:sz="2" w:space="0" w:color="000000"/>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62"/>
        </w:trPr>
        <w:tc>
          <w:tcPr>
            <w:tcW w:w="638" w:type="dxa"/>
            <w:tcBorders>
              <w:bottom w:val="single" w:sz="2" w:space="0" w:color="000000"/>
            </w:tcBorders>
            <w:shd w:val="clear" w:color="auto" w:fill="auto"/>
          </w:tcPr>
          <w:p w:rsidR="003E3450" w:rsidRPr="001C367F" w:rsidRDefault="003E3450" w:rsidP="00D804ED">
            <w:pPr>
              <w:pStyle w:val="TableParagraph"/>
              <w:rPr>
                <w:sz w:val="20"/>
              </w:rPr>
            </w:pPr>
            <w:r w:rsidRPr="001C367F">
              <w:rPr>
                <w:w w:val="105"/>
                <w:sz w:val="20"/>
              </w:rPr>
              <w:t>10</w:t>
            </w:r>
          </w:p>
        </w:tc>
        <w:tc>
          <w:tcPr>
            <w:tcW w:w="4465" w:type="dxa"/>
            <w:tcBorders>
              <w:bottom w:val="single" w:sz="2" w:space="0" w:color="000000"/>
            </w:tcBorders>
            <w:shd w:val="clear" w:color="auto" w:fill="auto"/>
          </w:tcPr>
          <w:p w:rsidR="003E3450" w:rsidRPr="001C367F" w:rsidRDefault="003E3450" w:rsidP="00D804ED">
            <w:pPr>
              <w:pStyle w:val="TableParagraph"/>
              <w:ind w:left="95"/>
              <w:rPr>
                <w:sz w:val="20"/>
              </w:rPr>
            </w:pPr>
            <w:proofErr w:type="spellStart"/>
            <w:r w:rsidRPr="001C367F">
              <w:rPr>
                <w:w w:val="105"/>
                <w:sz w:val="20"/>
              </w:rPr>
              <w:t>Cordão</w:t>
            </w:r>
            <w:proofErr w:type="spellEnd"/>
            <w:r w:rsidRPr="001C367F">
              <w:rPr>
                <w:w w:val="105"/>
                <w:sz w:val="20"/>
              </w:rPr>
              <w:t xml:space="preserve"> </w:t>
            </w:r>
            <w:proofErr w:type="spellStart"/>
            <w:r w:rsidRPr="001C367F">
              <w:rPr>
                <w:w w:val="105"/>
                <w:sz w:val="20"/>
              </w:rPr>
              <w:t>torcido</w:t>
            </w:r>
            <w:proofErr w:type="spellEnd"/>
            <w:r w:rsidRPr="001C367F">
              <w:rPr>
                <w:w w:val="105"/>
                <w:sz w:val="20"/>
              </w:rPr>
              <w:t xml:space="preserve"> 2x1,5 mm</w:t>
            </w:r>
          </w:p>
        </w:tc>
        <w:tc>
          <w:tcPr>
            <w:tcW w:w="1701" w:type="dxa"/>
            <w:tcBorders>
              <w:bottom w:val="single" w:sz="2" w:space="0" w:color="000000"/>
            </w:tcBorders>
            <w:shd w:val="clear" w:color="auto" w:fill="auto"/>
          </w:tcPr>
          <w:p w:rsidR="003E3450" w:rsidRPr="001C367F" w:rsidRDefault="003E3450" w:rsidP="00D804ED">
            <w:pPr>
              <w:pStyle w:val="TableParagraph"/>
              <w:ind w:left="183" w:right="183"/>
              <w:jc w:val="center"/>
              <w:rPr>
                <w:sz w:val="20"/>
              </w:rPr>
            </w:pPr>
            <w:r w:rsidRPr="001C367F">
              <w:rPr>
                <w:w w:val="105"/>
                <w:sz w:val="20"/>
              </w:rPr>
              <w:t>300</w:t>
            </w:r>
          </w:p>
        </w:tc>
        <w:tc>
          <w:tcPr>
            <w:tcW w:w="1418" w:type="dxa"/>
            <w:tcBorders>
              <w:bottom w:val="single" w:sz="2" w:space="0" w:color="000000"/>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1,59</w:t>
            </w:r>
          </w:p>
        </w:tc>
        <w:tc>
          <w:tcPr>
            <w:tcW w:w="1276" w:type="dxa"/>
            <w:tcBorders>
              <w:left w:val="single" w:sz="4" w:space="0" w:color="auto"/>
              <w:bottom w:val="single" w:sz="2" w:space="0" w:color="000000"/>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2"/>
        </w:trPr>
        <w:tc>
          <w:tcPr>
            <w:tcW w:w="638" w:type="dxa"/>
            <w:tcBorders>
              <w:top w:val="single" w:sz="2" w:space="0" w:color="000000"/>
            </w:tcBorders>
            <w:shd w:val="clear" w:color="auto" w:fill="auto"/>
          </w:tcPr>
          <w:p w:rsidR="003E3450" w:rsidRPr="001C367F" w:rsidRDefault="003E3450" w:rsidP="00D804ED">
            <w:pPr>
              <w:pStyle w:val="TableParagraph"/>
              <w:spacing w:before="6"/>
              <w:rPr>
                <w:sz w:val="20"/>
              </w:rPr>
            </w:pPr>
            <w:r w:rsidRPr="001C367F">
              <w:rPr>
                <w:w w:val="105"/>
                <w:sz w:val="20"/>
              </w:rPr>
              <w:t>11</w:t>
            </w:r>
          </w:p>
        </w:tc>
        <w:tc>
          <w:tcPr>
            <w:tcW w:w="4465" w:type="dxa"/>
            <w:tcBorders>
              <w:top w:val="single" w:sz="2" w:space="0" w:color="000000"/>
            </w:tcBorders>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Rele</w:t>
            </w:r>
            <w:proofErr w:type="spellEnd"/>
            <w:r w:rsidRPr="001C367F">
              <w:rPr>
                <w:w w:val="105"/>
                <w:sz w:val="20"/>
              </w:rPr>
              <w:t xml:space="preserve"> </w:t>
            </w:r>
            <w:proofErr w:type="spellStart"/>
            <w:r w:rsidRPr="001C367F">
              <w:rPr>
                <w:w w:val="105"/>
                <w:sz w:val="20"/>
              </w:rPr>
              <w:t>fotoelétrico</w:t>
            </w:r>
            <w:proofErr w:type="spellEnd"/>
            <w:r w:rsidRPr="001C367F">
              <w:rPr>
                <w:w w:val="105"/>
                <w:sz w:val="20"/>
              </w:rPr>
              <w:t xml:space="preserve"> NF STIL RFM-12</w:t>
            </w:r>
          </w:p>
        </w:tc>
        <w:tc>
          <w:tcPr>
            <w:tcW w:w="1701" w:type="dxa"/>
            <w:tcBorders>
              <w:top w:val="single" w:sz="2" w:space="0" w:color="000000"/>
            </w:tcBorders>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150</w:t>
            </w:r>
          </w:p>
        </w:tc>
        <w:tc>
          <w:tcPr>
            <w:tcW w:w="1418" w:type="dxa"/>
            <w:tcBorders>
              <w:top w:val="single" w:sz="2" w:space="0" w:color="000000"/>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19,00</w:t>
            </w:r>
          </w:p>
        </w:tc>
        <w:tc>
          <w:tcPr>
            <w:tcW w:w="1276" w:type="dxa"/>
            <w:tcBorders>
              <w:top w:val="single" w:sz="2" w:space="0" w:color="000000"/>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62"/>
        </w:trPr>
        <w:tc>
          <w:tcPr>
            <w:tcW w:w="638" w:type="dxa"/>
            <w:tcBorders>
              <w:bottom w:val="single" w:sz="2" w:space="0" w:color="000000"/>
            </w:tcBorders>
            <w:shd w:val="clear" w:color="auto" w:fill="auto"/>
          </w:tcPr>
          <w:p w:rsidR="003E3450" w:rsidRPr="001C367F" w:rsidRDefault="003E3450" w:rsidP="00D804ED">
            <w:pPr>
              <w:pStyle w:val="TableParagraph"/>
              <w:rPr>
                <w:sz w:val="20"/>
              </w:rPr>
            </w:pPr>
            <w:r w:rsidRPr="001C367F">
              <w:rPr>
                <w:w w:val="105"/>
                <w:sz w:val="20"/>
              </w:rPr>
              <w:t>12</w:t>
            </w:r>
          </w:p>
        </w:tc>
        <w:tc>
          <w:tcPr>
            <w:tcW w:w="4465" w:type="dxa"/>
            <w:tcBorders>
              <w:bottom w:val="single" w:sz="2" w:space="0" w:color="000000"/>
            </w:tcBorders>
            <w:shd w:val="clear" w:color="auto" w:fill="auto"/>
          </w:tcPr>
          <w:p w:rsidR="003E3450" w:rsidRPr="001C367F" w:rsidRDefault="003E3450" w:rsidP="00D804ED">
            <w:pPr>
              <w:pStyle w:val="TableParagraph"/>
              <w:ind w:left="95"/>
              <w:rPr>
                <w:sz w:val="20"/>
              </w:rPr>
            </w:pPr>
            <w:r w:rsidRPr="001C367F">
              <w:rPr>
                <w:w w:val="105"/>
                <w:sz w:val="20"/>
              </w:rPr>
              <w:t xml:space="preserve">Base </w:t>
            </w:r>
            <w:proofErr w:type="spellStart"/>
            <w:r w:rsidRPr="001C367F">
              <w:rPr>
                <w:w w:val="105"/>
                <w:sz w:val="20"/>
              </w:rPr>
              <w:t>rele</w:t>
            </w:r>
            <w:proofErr w:type="spellEnd"/>
            <w:r w:rsidRPr="001C367F">
              <w:rPr>
                <w:w w:val="105"/>
                <w:sz w:val="20"/>
              </w:rPr>
              <w:t xml:space="preserve"> </w:t>
            </w:r>
            <w:proofErr w:type="spellStart"/>
            <w:r w:rsidRPr="001C367F">
              <w:rPr>
                <w:w w:val="105"/>
                <w:sz w:val="20"/>
              </w:rPr>
              <w:t>fotoelétrico</w:t>
            </w:r>
            <w:proofErr w:type="spellEnd"/>
          </w:p>
        </w:tc>
        <w:tc>
          <w:tcPr>
            <w:tcW w:w="1701" w:type="dxa"/>
            <w:tcBorders>
              <w:bottom w:val="single" w:sz="2" w:space="0" w:color="000000"/>
            </w:tcBorders>
            <w:shd w:val="clear" w:color="auto" w:fill="auto"/>
          </w:tcPr>
          <w:p w:rsidR="003E3450" w:rsidRPr="001C367F" w:rsidRDefault="003E3450" w:rsidP="00D804ED">
            <w:pPr>
              <w:pStyle w:val="TableParagraph"/>
              <w:ind w:left="183" w:right="183"/>
              <w:jc w:val="center"/>
              <w:rPr>
                <w:sz w:val="20"/>
              </w:rPr>
            </w:pPr>
            <w:r w:rsidRPr="001C367F">
              <w:rPr>
                <w:w w:val="105"/>
                <w:sz w:val="20"/>
              </w:rPr>
              <w:t>200</w:t>
            </w:r>
          </w:p>
        </w:tc>
        <w:tc>
          <w:tcPr>
            <w:tcW w:w="1418" w:type="dxa"/>
            <w:tcBorders>
              <w:bottom w:val="single" w:sz="2" w:space="0" w:color="000000"/>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8,68</w:t>
            </w:r>
          </w:p>
        </w:tc>
        <w:tc>
          <w:tcPr>
            <w:tcW w:w="1276" w:type="dxa"/>
            <w:tcBorders>
              <w:left w:val="single" w:sz="4" w:space="0" w:color="auto"/>
              <w:bottom w:val="single" w:sz="2" w:space="0" w:color="000000"/>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2"/>
        </w:trPr>
        <w:tc>
          <w:tcPr>
            <w:tcW w:w="638" w:type="dxa"/>
            <w:tcBorders>
              <w:top w:val="single" w:sz="2" w:space="0" w:color="000000"/>
            </w:tcBorders>
            <w:shd w:val="clear" w:color="auto" w:fill="auto"/>
          </w:tcPr>
          <w:p w:rsidR="003E3450" w:rsidRPr="001C367F" w:rsidRDefault="003E3450" w:rsidP="00D804ED">
            <w:pPr>
              <w:pStyle w:val="TableParagraph"/>
              <w:spacing w:before="6"/>
              <w:rPr>
                <w:sz w:val="20"/>
              </w:rPr>
            </w:pPr>
            <w:r w:rsidRPr="001C367F">
              <w:rPr>
                <w:w w:val="105"/>
                <w:sz w:val="20"/>
              </w:rPr>
              <w:t>13</w:t>
            </w:r>
          </w:p>
        </w:tc>
        <w:tc>
          <w:tcPr>
            <w:tcW w:w="4465" w:type="dxa"/>
            <w:tcBorders>
              <w:top w:val="single" w:sz="2" w:space="0" w:color="000000"/>
            </w:tcBorders>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Globo</w:t>
            </w:r>
            <w:proofErr w:type="spellEnd"/>
            <w:r w:rsidRPr="001C367F">
              <w:rPr>
                <w:w w:val="105"/>
                <w:sz w:val="20"/>
              </w:rPr>
              <w:t xml:space="preserve"> de PVC </w:t>
            </w:r>
            <w:proofErr w:type="spellStart"/>
            <w:r w:rsidRPr="001C367F">
              <w:rPr>
                <w:w w:val="105"/>
                <w:sz w:val="20"/>
              </w:rPr>
              <w:t>grande</w:t>
            </w:r>
            <w:proofErr w:type="spellEnd"/>
            <w:r w:rsidRPr="001C367F">
              <w:rPr>
                <w:w w:val="105"/>
                <w:sz w:val="20"/>
              </w:rPr>
              <w:t xml:space="preserve"> </w:t>
            </w:r>
            <w:proofErr w:type="spellStart"/>
            <w:r w:rsidRPr="001C367F">
              <w:rPr>
                <w:w w:val="105"/>
                <w:sz w:val="20"/>
              </w:rPr>
              <w:t>decorado</w:t>
            </w:r>
            <w:proofErr w:type="spellEnd"/>
            <w:r w:rsidRPr="001C367F">
              <w:rPr>
                <w:w w:val="105"/>
                <w:sz w:val="20"/>
              </w:rPr>
              <w:t xml:space="preserve"> 300mm</w:t>
            </w:r>
          </w:p>
        </w:tc>
        <w:tc>
          <w:tcPr>
            <w:tcW w:w="1701" w:type="dxa"/>
            <w:tcBorders>
              <w:top w:val="single" w:sz="2" w:space="0" w:color="000000"/>
            </w:tcBorders>
            <w:shd w:val="clear" w:color="auto" w:fill="auto"/>
          </w:tcPr>
          <w:p w:rsidR="003E3450" w:rsidRPr="001C367F" w:rsidRDefault="003E3450" w:rsidP="00D804ED">
            <w:pPr>
              <w:pStyle w:val="TableParagraph"/>
              <w:spacing w:before="6"/>
              <w:ind w:left="187" w:right="183"/>
              <w:jc w:val="center"/>
              <w:rPr>
                <w:sz w:val="20"/>
              </w:rPr>
            </w:pPr>
            <w:r w:rsidRPr="001C367F">
              <w:rPr>
                <w:w w:val="105"/>
                <w:sz w:val="20"/>
              </w:rPr>
              <w:t>80</w:t>
            </w:r>
          </w:p>
        </w:tc>
        <w:tc>
          <w:tcPr>
            <w:tcW w:w="1418" w:type="dxa"/>
            <w:tcBorders>
              <w:top w:val="single" w:sz="2" w:space="0" w:color="000000"/>
              <w:right w:val="single" w:sz="4" w:space="0" w:color="auto"/>
            </w:tcBorders>
            <w:shd w:val="clear" w:color="auto" w:fill="auto"/>
          </w:tcPr>
          <w:p w:rsidR="003E3450" w:rsidRPr="001C367F" w:rsidRDefault="003E3450" w:rsidP="00AC2BE3">
            <w:pPr>
              <w:pStyle w:val="TableParagraph"/>
              <w:spacing w:before="6"/>
              <w:ind w:left="187" w:right="183"/>
              <w:jc w:val="center"/>
              <w:rPr>
                <w:w w:val="105"/>
                <w:sz w:val="20"/>
              </w:rPr>
            </w:pPr>
            <w:r>
              <w:rPr>
                <w:w w:val="105"/>
                <w:sz w:val="20"/>
              </w:rPr>
              <w:t>32,50</w:t>
            </w:r>
          </w:p>
        </w:tc>
        <w:tc>
          <w:tcPr>
            <w:tcW w:w="1276" w:type="dxa"/>
            <w:tcBorders>
              <w:top w:val="single" w:sz="2" w:space="0" w:color="000000"/>
              <w:left w:val="single" w:sz="4" w:space="0" w:color="auto"/>
            </w:tcBorders>
            <w:shd w:val="clear" w:color="auto" w:fill="auto"/>
          </w:tcPr>
          <w:p w:rsidR="003E3450" w:rsidRPr="001C367F" w:rsidRDefault="003E3450" w:rsidP="00D804ED">
            <w:pPr>
              <w:pStyle w:val="TableParagraph"/>
              <w:spacing w:before="6"/>
              <w:ind w:left="187"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rPr>
                <w:sz w:val="20"/>
              </w:rPr>
            </w:pPr>
            <w:r w:rsidRPr="001C367F">
              <w:rPr>
                <w:w w:val="105"/>
                <w:sz w:val="20"/>
              </w:rPr>
              <w:t>14</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Lâmpada</w:t>
            </w:r>
            <w:proofErr w:type="spellEnd"/>
            <w:r w:rsidRPr="001C367F">
              <w:rPr>
                <w:w w:val="105"/>
                <w:sz w:val="20"/>
              </w:rPr>
              <w:t xml:space="preserve"> </w:t>
            </w:r>
            <w:proofErr w:type="spellStart"/>
            <w:r w:rsidRPr="001C367F">
              <w:rPr>
                <w:w w:val="105"/>
                <w:sz w:val="20"/>
              </w:rPr>
              <w:t>incandescente</w:t>
            </w:r>
            <w:proofErr w:type="spellEnd"/>
            <w:r w:rsidRPr="001C367F">
              <w:rPr>
                <w:w w:val="105"/>
                <w:sz w:val="20"/>
              </w:rPr>
              <w:t xml:space="preserve"> 150W</w:t>
            </w:r>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100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28,30</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15</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sódio</w:t>
            </w:r>
            <w:proofErr w:type="spellEnd"/>
            <w:r w:rsidRPr="001C367F">
              <w:rPr>
                <w:w w:val="105"/>
                <w:sz w:val="20"/>
              </w:rPr>
              <w:t xml:space="preserve"> 250W </w:t>
            </w:r>
            <w:proofErr w:type="spellStart"/>
            <w:r w:rsidRPr="001C367F">
              <w:rPr>
                <w:w w:val="105"/>
                <w:sz w:val="20"/>
              </w:rPr>
              <w:t>ovóide</w:t>
            </w:r>
            <w:proofErr w:type="spellEnd"/>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100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35,61</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rPr>
                <w:sz w:val="20"/>
              </w:rPr>
            </w:pPr>
            <w:r w:rsidRPr="001C367F">
              <w:rPr>
                <w:w w:val="105"/>
                <w:sz w:val="20"/>
              </w:rPr>
              <w:t>16</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mercúrio</w:t>
            </w:r>
            <w:proofErr w:type="spellEnd"/>
            <w:r w:rsidRPr="001C367F">
              <w:rPr>
                <w:w w:val="105"/>
                <w:sz w:val="20"/>
              </w:rPr>
              <w:t xml:space="preserve"> 250W</w:t>
            </w:r>
          </w:p>
        </w:tc>
        <w:tc>
          <w:tcPr>
            <w:tcW w:w="1701" w:type="dxa"/>
            <w:shd w:val="clear" w:color="auto" w:fill="auto"/>
          </w:tcPr>
          <w:p w:rsidR="003E3450" w:rsidRPr="001C367F" w:rsidRDefault="003E3450" w:rsidP="00D804ED">
            <w:pPr>
              <w:pStyle w:val="TableParagraph"/>
              <w:ind w:left="187" w:right="183"/>
              <w:jc w:val="center"/>
              <w:rPr>
                <w:sz w:val="20"/>
              </w:rPr>
            </w:pPr>
            <w:r w:rsidRPr="001C367F">
              <w:rPr>
                <w:w w:val="105"/>
                <w:sz w:val="20"/>
              </w:rPr>
              <w:t>70</w:t>
            </w:r>
          </w:p>
        </w:tc>
        <w:tc>
          <w:tcPr>
            <w:tcW w:w="1418" w:type="dxa"/>
            <w:tcBorders>
              <w:right w:val="single" w:sz="4" w:space="0" w:color="auto"/>
            </w:tcBorders>
            <w:shd w:val="clear" w:color="auto" w:fill="auto"/>
          </w:tcPr>
          <w:p w:rsidR="003E3450" w:rsidRPr="001C367F" w:rsidRDefault="003E3450" w:rsidP="00AC2BE3">
            <w:pPr>
              <w:pStyle w:val="TableParagraph"/>
              <w:ind w:left="187" w:right="183"/>
              <w:jc w:val="center"/>
              <w:rPr>
                <w:w w:val="105"/>
                <w:sz w:val="20"/>
              </w:rPr>
            </w:pPr>
            <w:r>
              <w:rPr>
                <w:w w:val="105"/>
                <w:sz w:val="20"/>
              </w:rPr>
              <w:t>34,00</w:t>
            </w:r>
          </w:p>
        </w:tc>
        <w:tc>
          <w:tcPr>
            <w:tcW w:w="1276" w:type="dxa"/>
            <w:tcBorders>
              <w:left w:val="single" w:sz="4" w:space="0" w:color="auto"/>
            </w:tcBorders>
            <w:shd w:val="clear" w:color="auto" w:fill="auto"/>
          </w:tcPr>
          <w:p w:rsidR="003E3450" w:rsidRPr="001C367F" w:rsidRDefault="003E3450" w:rsidP="00D804ED">
            <w:pPr>
              <w:pStyle w:val="TableParagraph"/>
              <w:ind w:left="187"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17</w:t>
            </w:r>
          </w:p>
        </w:tc>
        <w:tc>
          <w:tcPr>
            <w:tcW w:w="4465" w:type="dxa"/>
            <w:shd w:val="clear" w:color="auto" w:fill="auto"/>
          </w:tcPr>
          <w:p w:rsidR="003E3450" w:rsidRPr="001C367F" w:rsidRDefault="003E3450" w:rsidP="00D804ED">
            <w:pPr>
              <w:pStyle w:val="TableParagraph"/>
              <w:ind w:left="95"/>
              <w:rPr>
                <w:sz w:val="20"/>
              </w:rPr>
            </w:pPr>
            <w:r w:rsidRPr="001C367F">
              <w:rPr>
                <w:w w:val="105"/>
                <w:sz w:val="20"/>
              </w:rPr>
              <w:t>REATOR VS 250WEXTERNO AF</w:t>
            </w:r>
          </w:p>
        </w:tc>
        <w:tc>
          <w:tcPr>
            <w:tcW w:w="1701" w:type="dxa"/>
            <w:shd w:val="clear" w:color="auto" w:fill="auto"/>
          </w:tcPr>
          <w:p w:rsidR="003E3450" w:rsidRPr="001C367F" w:rsidRDefault="003E3450" w:rsidP="00D804ED">
            <w:pPr>
              <w:pStyle w:val="TableParagraph"/>
              <w:ind w:left="187" w:right="183"/>
              <w:jc w:val="center"/>
              <w:rPr>
                <w:sz w:val="20"/>
              </w:rPr>
            </w:pPr>
            <w:r w:rsidRPr="001C367F">
              <w:rPr>
                <w:w w:val="105"/>
                <w:sz w:val="20"/>
              </w:rPr>
              <w:t>60</w:t>
            </w:r>
          </w:p>
        </w:tc>
        <w:tc>
          <w:tcPr>
            <w:tcW w:w="1418" w:type="dxa"/>
            <w:tcBorders>
              <w:right w:val="single" w:sz="4" w:space="0" w:color="auto"/>
            </w:tcBorders>
            <w:shd w:val="clear" w:color="auto" w:fill="auto"/>
          </w:tcPr>
          <w:p w:rsidR="003E3450" w:rsidRPr="001C367F" w:rsidRDefault="003E3450" w:rsidP="00AC2BE3">
            <w:pPr>
              <w:pStyle w:val="TableParagraph"/>
              <w:ind w:left="187" w:right="183"/>
              <w:jc w:val="center"/>
              <w:rPr>
                <w:w w:val="105"/>
                <w:sz w:val="20"/>
              </w:rPr>
            </w:pPr>
            <w:r>
              <w:rPr>
                <w:w w:val="105"/>
                <w:sz w:val="20"/>
              </w:rPr>
              <w:t>84,01</w:t>
            </w:r>
          </w:p>
        </w:tc>
        <w:tc>
          <w:tcPr>
            <w:tcW w:w="1276" w:type="dxa"/>
            <w:tcBorders>
              <w:left w:val="single" w:sz="4" w:space="0" w:color="auto"/>
            </w:tcBorders>
            <w:shd w:val="clear" w:color="auto" w:fill="auto"/>
          </w:tcPr>
          <w:p w:rsidR="003E3450" w:rsidRPr="001C367F" w:rsidRDefault="003E3450" w:rsidP="00D804ED">
            <w:pPr>
              <w:pStyle w:val="TableParagraph"/>
              <w:ind w:left="187"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18</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sódio</w:t>
            </w:r>
            <w:proofErr w:type="spellEnd"/>
            <w:r w:rsidRPr="001C367F">
              <w:rPr>
                <w:w w:val="105"/>
                <w:sz w:val="20"/>
              </w:rPr>
              <w:t xml:space="preserve"> 400W </w:t>
            </w:r>
            <w:proofErr w:type="spellStart"/>
            <w:r w:rsidRPr="001C367F">
              <w:rPr>
                <w:w w:val="105"/>
                <w:sz w:val="20"/>
              </w:rPr>
              <w:t>ovóide</w:t>
            </w:r>
            <w:proofErr w:type="spellEnd"/>
          </w:p>
        </w:tc>
        <w:tc>
          <w:tcPr>
            <w:tcW w:w="1701" w:type="dxa"/>
            <w:shd w:val="clear" w:color="auto" w:fill="auto"/>
          </w:tcPr>
          <w:p w:rsidR="003E3450" w:rsidRPr="001C367F" w:rsidRDefault="003E3450" w:rsidP="00D804ED">
            <w:pPr>
              <w:pStyle w:val="TableParagraph"/>
              <w:spacing w:before="6"/>
              <w:ind w:left="187" w:right="183"/>
              <w:jc w:val="center"/>
              <w:rPr>
                <w:sz w:val="20"/>
              </w:rPr>
            </w:pPr>
            <w:r w:rsidRPr="001C367F">
              <w:rPr>
                <w:w w:val="105"/>
                <w:sz w:val="20"/>
              </w:rPr>
              <w:t>80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7" w:right="183"/>
              <w:jc w:val="center"/>
              <w:rPr>
                <w:w w:val="105"/>
                <w:sz w:val="20"/>
              </w:rPr>
            </w:pPr>
            <w:r>
              <w:rPr>
                <w:w w:val="105"/>
                <w:sz w:val="20"/>
              </w:rPr>
              <w:t>48,22</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7"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19</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Reator</w:t>
            </w:r>
            <w:proofErr w:type="spellEnd"/>
            <w:r w:rsidRPr="001C367F">
              <w:rPr>
                <w:w w:val="105"/>
                <w:sz w:val="20"/>
              </w:rPr>
              <w:t xml:space="preserve"> VS 400WEXTERNO AF</w:t>
            </w:r>
          </w:p>
        </w:tc>
        <w:tc>
          <w:tcPr>
            <w:tcW w:w="1701" w:type="dxa"/>
            <w:shd w:val="clear" w:color="auto" w:fill="auto"/>
          </w:tcPr>
          <w:p w:rsidR="003E3450" w:rsidRPr="001C367F" w:rsidRDefault="003E3450" w:rsidP="00D804ED">
            <w:pPr>
              <w:pStyle w:val="TableParagraph"/>
              <w:ind w:left="187" w:right="183"/>
              <w:jc w:val="center"/>
              <w:rPr>
                <w:sz w:val="20"/>
              </w:rPr>
            </w:pPr>
            <w:r w:rsidRPr="001C367F">
              <w:rPr>
                <w:w w:val="105"/>
                <w:sz w:val="20"/>
              </w:rPr>
              <w:t>70</w:t>
            </w:r>
          </w:p>
        </w:tc>
        <w:tc>
          <w:tcPr>
            <w:tcW w:w="1418" w:type="dxa"/>
            <w:tcBorders>
              <w:right w:val="single" w:sz="4" w:space="0" w:color="auto"/>
            </w:tcBorders>
            <w:shd w:val="clear" w:color="auto" w:fill="auto"/>
          </w:tcPr>
          <w:p w:rsidR="003E3450" w:rsidRPr="001C367F" w:rsidRDefault="003E3450" w:rsidP="00AC2BE3">
            <w:pPr>
              <w:pStyle w:val="TableParagraph"/>
              <w:ind w:left="187" w:right="183"/>
              <w:jc w:val="center"/>
              <w:rPr>
                <w:w w:val="105"/>
                <w:sz w:val="20"/>
              </w:rPr>
            </w:pPr>
            <w:r>
              <w:rPr>
                <w:w w:val="105"/>
                <w:sz w:val="20"/>
              </w:rPr>
              <w:t>107,84</w:t>
            </w:r>
          </w:p>
        </w:tc>
        <w:tc>
          <w:tcPr>
            <w:tcW w:w="1276" w:type="dxa"/>
            <w:tcBorders>
              <w:left w:val="single" w:sz="4" w:space="0" w:color="auto"/>
            </w:tcBorders>
            <w:shd w:val="clear" w:color="auto" w:fill="auto"/>
          </w:tcPr>
          <w:p w:rsidR="003E3450" w:rsidRPr="001C367F" w:rsidRDefault="003E3450" w:rsidP="00D804ED">
            <w:pPr>
              <w:pStyle w:val="TableParagraph"/>
              <w:ind w:left="187"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20</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Reator</w:t>
            </w:r>
            <w:proofErr w:type="spellEnd"/>
            <w:r w:rsidRPr="001C367F">
              <w:rPr>
                <w:w w:val="105"/>
                <w:sz w:val="20"/>
              </w:rPr>
              <w:t xml:space="preserve"> VM 250W EXTERNO AF</w:t>
            </w:r>
          </w:p>
        </w:tc>
        <w:tc>
          <w:tcPr>
            <w:tcW w:w="1701" w:type="dxa"/>
            <w:shd w:val="clear" w:color="auto" w:fill="auto"/>
          </w:tcPr>
          <w:p w:rsidR="003E3450" w:rsidRPr="001C367F" w:rsidRDefault="003E3450" w:rsidP="00D804ED">
            <w:pPr>
              <w:pStyle w:val="TableParagraph"/>
              <w:spacing w:before="6"/>
              <w:ind w:left="187" w:right="183"/>
              <w:jc w:val="center"/>
              <w:rPr>
                <w:sz w:val="20"/>
              </w:rPr>
            </w:pPr>
            <w:r w:rsidRPr="001C367F">
              <w:rPr>
                <w:w w:val="105"/>
                <w:sz w:val="20"/>
              </w:rPr>
              <w:t>80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7" w:right="183"/>
              <w:jc w:val="center"/>
              <w:rPr>
                <w:w w:val="105"/>
                <w:sz w:val="20"/>
              </w:rPr>
            </w:pPr>
            <w:r>
              <w:rPr>
                <w:w w:val="105"/>
                <w:sz w:val="20"/>
              </w:rPr>
              <w:t>62,00</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7"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21</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Fio</w:t>
            </w:r>
            <w:proofErr w:type="spellEnd"/>
            <w:r w:rsidRPr="001C367F">
              <w:rPr>
                <w:w w:val="105"/>
                <w:sz w:val="20"/>
              </w:rPr>
              <w:t xml:space="preserve"> 4, 0mm(</w:t>
            </w:r>
            <w:proofErr w:type="spellStart"/>
            <w:r w:rsidRPr="001C367F">
              <w:rPr>
                <w:w w:val="105"/>
                <w:sz w:val="20"/>
              </w:rPr>
              <w:t>fio</w:t>
            </w:r>
            <w:proofErr w:type="spellEnd"/>
            <w:r w:rsidRPr="001C367F">
              <w:rPr>
                <w:w w:val="105"/>
                <w:sz w:val="20"/>
              </w:rPr>
              <w:t xml:space="preserve"> 10)</w:t>
            </w:r>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1000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1,60</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22</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Fio</w:t>
            </w:r>
            <w:proofErr w:type="spellEnd"/>
            <w:r w:rsidRPr="001C367F">
              <w:rPr>
                <w:w w:val="105"/>
                <w:sz w:val="20"/>
              </w:rPr>
              <w:t xml:space="preserve"> 2,5mm(</w:t>
            </w:r>
            <w:proofErr w:type="spellStart"/>
            <w:r w:rsidRPr="001C367F">
              <w:rPr>
                <w:w w:val="105"/>
                <w:sz w:val="20"/>
              </w:rPr>
              <w:t>fio</w:t>
            </w:r>
            <w:proofErr w:type="spellEnd"/>
            <w:r w:rsidRPr="001C367F">
              <w:rPr>
                <w:w w:val="105"/>
                <w:sz w:val="20"/>
              </w:rPr>
              <w:t xml:space="preserve"> 12)</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1000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0,88</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lastRenderedPageBreak/>
              <w:t>23</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Fio</w:t>
            </w:r>
            <w:proofErr w:type="spellEnd"/>
            <w:r w:rsidRPr="001C367F">
              <w:rPr>
                <w:w w:val="105"/>
                <w:sz w:val="20"/>
              </w:rPr>
              <w:t xml:space="preserve"> 1,5mm(</w:t>
            </w:r>
            <w:proofErr w:type="spellStart"/>
            <w:r w:rsidRPr="001C367F">
              <w:rPr>
                <w:w w:val="105"/>
                <w:sz w:val="20"/>
              </w:rPr>
              <w:t>fio</w:t>
            </w:r>
            <w:proofErr w:type="spellEnd"/>
            <w:r w:rsidRPr="001C367F">
              <w:rPr>
                <w:w w:val="105"/>
                <w:sz w:val="20"/>
              </w:rPr>
              <w:t xml:space="preserve"> 14)</w:t>
            </w:r>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1300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0,56</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24</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Fio</w:t>
            </w:r>
            <w:proofErr w:type="spellEnd"/>
            <w:r w:rsidRPr="001C367F">
              <w:rPr>
                <w:w w:val="105"/>
                <w:sz w:val="20"/>
              </w:rPr>
              <w:t xml:space="preserve"> 6,0mm(</w:t>
            </w:r>
            <w:proofErr w:type="spellStart"/>
            <w:r w:rsidRPr="001C367F">
              <w:rPr>
                <w:w w:val="105"/>
                <w:sz w:val="20"/>
              </w:rPr>
              <w:t>fio</w:t>
            </w:r>
            <w:proofErr w:type="spellEnd"/>
            <w:r w:rsidRPr="001C367F">
              <w:rPr>
                <w:w w:val="105"/>
                <w:sz w:val="20"/>
              </w:rPr>
              <w:t xml:space="preserve"> 08)</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800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2,31</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25</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sódio</w:t>
            </w:r>
            <w:proofErr w:type="spellEnd"/>
            <w:r>
              <w:rPr>
                <w:w w:val="105"/>
                <w:sz w:val="20"/>
              </w:rPr>
              <w:t xml:space="preserve"> 70W</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250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19,19</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11"/>
              <w:rPr>
                <w:sz w:val="20"/>
              </w:rPr>
            </w:pPr>
            <w:r w:rsidRPr="001C367F">
              <w:rPr>
                <w:w w:val="105"/>
                <w:sz w:val="20"/>
              </w:rPr>
              <w:t>26</w:t>
            </w:r>
          </w:p>
        </w:tc>
        <w:tc>
          <w:tcPr>
            <w:tcW w:w="4465" w:type="dxa"/>
            <w:shd w:val="clear" w:color="auto" w:fill="auto"/>
          </w:tcPr>
          <w:p w:rsidR="003E3450" w:rsidRPr="001C367F" w:rsidRDefault="003E3450" w:rsidP="00D804ED">
            <w:pPr>
              <w:pStyle w:val="TableParagraph"/>
              <w:spacing w:before="11"/>
              <w:ind w:left="95"/>
              <w:rPr>
                <w:sz w:val="20"/>
              </w:rPr>
            </w:pPr>
            <w:proofErr w:type="spellStart"/>
            <w:r w:rsidRPr="001C367F">
              <w:rPr>
                <w:w w:val="105"/>
                <w:sz w:val="20"/>
              </w:rPr>
              <w:t>Reator</w:t>
            </w:r>
            <w:proofErr w:type="spellEnd"/>
            <w:r w:rsidRPr="001C367F">
              <w:rPr>
                <w:w w:val="105"/>
                <w:sz w:val="20"/>
              </w:rPr>
              <w:t xml:space="preserve"> VS 70WEXTERNOAF</w:t>
            </w:r>
            <w:bookmarkStart w:id="0" w:name="_GoBack"/>
            <w:bookmarkEnd w:id="0"/>
          </w:p>
        </w:tc>
        <w:tc>
          <w:tcPr>
            <w:tcW w:w="1701" w:type="dxa"/>
            <w:shd w:val="clear" w:color="auto" w:fill="auto"/>
          </w:tcPr>
          <w:p w:rsidR="003E3450" w:rsidRPr="001C367F" w:rsidRDefault="003E3450" w:rsidP="00D804ED">
            <w:pPr>
              <w:pStyle w:val="TableParagraph"/>
              <w:spacing w:before="11"/>
              <w:ind w:left="183" w:right="183"/>
              <w:jc w:val="center"/>
              <w:rPr>
                <w:sz w:val="20"/>
              </w:rPr>
            </w:pPr>
            <w:r w:rsidRPr="001C367F">
              <w:rPr>
                <w:w w:val="105"/>
                <w:sz w:val="20"/>
              </w:rPr>
              <w:t>100</w:t>
            </w:r>
          </w:p>
        </w:tc>
        <w:tc>
          <w:tcPr>
            <w:tcW w:w="1418" w:type="dxa"/>
            <w:tcBorders>
              <w:right w:val="single" w:sz="4" w:space="0" w:color="auto"/>
            </w:tcBorders>
            <w:shd w:val="clear" w:color="auto" w:fill="auto"/>
          </w:tcPr>
          <w:p w:rsidR="003E3450" w:rsidRPr="001C367F" w:rsidRDefault="003E3450" w:rsidP="00AC2BE3">
            <w:pPr>
              <w:pStyle w:val="TableParagraph"/>
              <w:spacing w:before="11"/>
              <w:ind w:left="183" w:right="183"/>
              <w:jc w:val="center"/>
              <w:rPr>
                <w:w w:val="105"/>
                <w:sz w:val="20"/>
              </w:rPr>
            </w:pPr>
            <w:r>
              <w:rPr>
                <w:w w:val="105"/>
                <w:sz w:val="20"/>
              </w:rPr>
              <w:t>59,67</w:t>
            </w:r>
          </w:p>
        </w:tc>
        <w:tc>
          <w:tcPr>
            <w:tcW w:w="1276" w:type="dxa"/>
            <w:tcBorders>
              <w:left w:val="single" w:sz="4" w:space="0" w:color="auto"/>
            </w:tcBorders>
            <w:shd w:val="clear" w:color="auto" w:fill="auto"/>
          </w:tcPr>
          <w:p w:rsidR="003E3450" w:rsidRPr="001C367F" w:rsidRDefault="003E3450" w:rsidP="00D804ED">
            <w:pPr>
              <w:pStyle w:val="TableParagraph"/>
              <w:spacing w:before="11"/>
              <w:ind w:left="183" w:right="183"/>
              <w:jc w:val="center"/>
              <w:rPr>
                <w:w w:val="105"/>
                <w:sz w:val="20"/>
              </w:rPr>
            </w:pPr>
          </w:p>
        </w:tc>
      </w:tr>
      <w:tr w:rsidR="00244C8E" w:rsidTr="003E3450">
        <w:trPr>
          <w:trHeight w:hRule="exact" w:val="264"/>
        </w:trPr>
        <w:tc>
          <w:tcPr>
            <w:tcW w:w="638" w:type="dxa"/>
            <w:shd w:val="clear" w:color="auto" w:fill="auto"/>
          </w:tcPr>
          <w:p w:rsidR="00244C8E" w:rsidRPr="001C367F" w:rsidRDefault="00244C8E" w:rsidP="00D804ED">
            <w:pPr>
              <w:widowControl w:val="0"/>
              <w:rPr>
                <w:rFonts w:ascii="Calibri" w:eastAsia="Calibri" w:hAnsi="Calibri"/>
                <w:sz w:val="22"/>
                <w:szCs w:val="22"/>
              </w:rPr>
            </w:pPr>
          </w:p>
        </w:tc>
        <w:tc>
          <w:tcPr>
            <w:tcW w:w="4465" w:type="dxa"/>
            <w:shd w:val="clear" w:color="auto" w:fill="auto"/>
          </w:tcPr>
          <w:p w:rsidR="00244C8E" w:rsidRPr="001C367F" w:rsidRDefault="00244C8E" w:rsidP="00D804ED">
            <w:pPr>
              <w:widowControl w:val="0"/>
              <w:rPr>
                <w:rFonts w:ascii="Calibri" w:eastAsia="Calibri" w:hAnsi="Calibri"/>
                <w:sz w:val="22"/>
                <w:szCs w:val="22"/>
              </w:rPr>
            </w:pPr>
            <w:r w:rsidRPr="001C367F">
              <w:rPr>
                <w:rFonts w:ascii="Calibri" w:eastAsia="Calibri" w:hAnsi="Calibri"/>
                <w:sz w:val="22"/>
                <w:szCs w:val="22"/>
              </w:rPr>
              <w:t xml:space="preserve">   VALOR TOTAL R$ _______________________</w:t>
            </w:r>
          </w:p>
        </w:tc>
        <w:tc>
          <w:tcPr>
            <w:tcW w:w="1701" w:type="dxa"/>
            <w:shd w:val="clear" w:color="auto" w:fill="auto"/>
          </w:tcPr>
          <w:p w:rsidR="00244C8E" w:rsidRPr="001C367F" w:rsidRDefault="00244C8E" w:rsidP="00D804ED">
            <w:pPr>
              <w:widowControl w:val="0"/>
              <w:rPr>
                <w:rFonts w:ascii="Calibri" w:eastAsia="Calibri" w:hAnsi="Calibri"/>
                <w:sz w:val="22"/>
                <w:szCs w:val="22"/>
              </w:rPr>
            </w:pPr>
          </w:p>
        </w:tc>
        <w:tc>
          <w:tcPr>
            <w:tcW w:w="1418" w:type="dxa"/>
            <w:tcBorders>
              <w:right w:val="single" w:sz="4" w:space="0" w:color="auto"/>
            </w:tcBorders>
            <w:shd w:val="clear" w:color="auto" w:fill="auto"/>
          </w:tcPr>
          <w:p w:rsidR="00244C8E" w:rsidRPr="001C367F" w:rsidRDefault="00244C8E" w:rsidP="00D804ED">
            <w:pPr>
              <w:widowControl w:val="0"/>
              <w:rPr>
                <w:rFonts w:ascii="Calibri" w:eastAsia="Calibri" w:hAnsi="Calibri"/>
                <w:sz w:val="22"/>
                <w:szCs w:val="22"/>
              </w:rPr>
            </w:pPr>
          </w:p>
        </w:tc>
        <w:tc>
          <w:tcPr>
            <w:tcW w:w="1276" w:type="dxa"/>
            <w:tcBorders>
              <w:left w:val="single" w:sz="4" w:space="0" w:color="auto"/>
            </w:tcBorders>
            <w:shd w:val="clear" w:color="auto" w:fill="auto"/>
          </w:tcPr>
          <w:p w:rsidR="00244C8E" w:rsidRPr="001C367F" w:rsidRDefault="00244C8E" w:rsidP="00D804ED">
            <w:pPr>
              <w:widowControl w:val="0"/>
              <w:rPr>
                <w:rFonts w:ascii="Calibri" w:eastAsia="Calibri" w:hAnsi="Calibri"/>
                <w:sz w:val="22"/>
                <w:szCs w:val="22"/>
              </w:rPr>
            </w:pPr>
          </w:p>
        </w:tc>
      </w:tr>
    </w:tbl>
    <w:p w:rsidR="006A0E99" w:rsidRPr="00B94860" w:rsidRDefault="006A0E99" w:rsidP="00621389">
      <w:pPr>
        <w:rPr>
          <w:rFonts w:ascii="Arial" w:hAnsi="Arial" w:cs="Arial"/>
          <w:b/>
        </w:rPr>
      </w:pPr>
    </w:p>
    <w:p w:rsidR="00CC471C" w:rsidRPr="00B94860" w:rsidRDefault="00CC471C" w:rsidP="00621389">
      <w:pPr>
        <w:rPr>
          <w:rFonts w:ascii="Arial" w:hAnsi="Arial" w:cs="Arial"/>
          <w:b/>
        </w:rPr>
      </w:pPr>
    </w:p>
    <w:p w:rsidR="00FB5039" w:rsidRPr="00B94860" w:rsidRDefault="00FB5039" w:rsidP="00621389">
      <w:pPr>
        <w:rPr>
          <w:rFonts w:ascii="Arial" w:hAnsi="Arial" w:cs="Arial"/>
          <w:b/>
        </w:rPr>
      </w:pPr>
    </w:p>
    <w:p w:rsidR="00B27ABF" w:rsidRPr="00B94860" w:rsidRDefault="00B27ABF" w:rsidP="0017248B">
      <w:pPr>
        <w:jc w:val="center"/>
        <w:rPr>
          <w:rFonts w:ascii="Arial" w:hAnsi="Arial" w:cs="Arial"/>
          <w:b/>
        </w:rPr>
      </w:pPr>
    </w:p>
    <w:p w:rsidR="008D4354" w:rsidRDefault="008D4354" w:rsidP="0017248B">
      <w:pPr>
        <w:jc w:val="center"/>
        <w:rPr>
          <w:rFonts w:ascii="Arial" w:hAnsi="Arial" w:cs="Arial"/>
          <w:b/>
        </w:rPr>
      </w:pPr>
    </w:p>
    <w:p w:rsidR="00515831" w:rsidRDefault="00515831" w:rsidP="0017248B">
      <w:pPr>
        <w:jc w:val="center"/>
        <w:rPr>
          <w:rFonts w:ascii="Arial" w:hAnsi="Arial" w:cs="Arial"/>
          <w:b/>
        </w:rPr>
      </w:pPr>
    </w:p>
    <w:p w:rsidR="00515831" w:rsidRDefault="00515831" w:rsidP="0017248B">
      <w:pPr>
        <w:jc w:val="center"/>
        <w:rPr>
          <w:rFonts w:ascii="Arial" w:hAnsi="Arial" w:cs="Arial"/>
          <w:b/>
        </w:rPr>
      </w:pP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244C8E">
        <w:rPr>
          <w:rFonts w:ascii="Arial" w:hAnsi="Arial" w:cs="Arial"/>
          <w:b/>
          <w:bCs/>
        </w:rPr>
        <w:t>024/2017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244C8E">
        <w:rPr>
          <w:rFonts w:ascii="Arial" w:hAnsi="Arial" w:cs="Arial"/>
          <w:b/>
        </w:rPr>
        <w:t>024/2017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244C8E">
        <w:rPr>
          <w:rFonts w:ascii="Arial" w:hAnsi="Arial" w:cs="Arial"/>
          <w:b/>
        </w:rPr>
        <w:t>024/2017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244C8E">
        <w:rPr>
          <w:rFonts w:ascii="Arial" w:hAnsi="Arial" w:cs="Arial"/>
          <w:b/>
        </w:rPr>
        <w:t>024/2017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244C8E">
        <w:rPr>
          <w:rFonts w:ascii="Arial" w:hAnsi="Arial" w:cs="Arial"/>
          <w:b/>
          <w:bCs/>
        </w:rPr>
        <w:t>024/2017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244C8E">
        <w:rPr>
          <w:rFonts w:ascii="Arial" w:hAnsi="Arial" w:cs="Arial"/>
          <w:b/>
        </w:rPr>
        <w:t>AQUISIÇÃO DE MATERIAL ELÉTRICO (ALTA TENSÃO) PARA ATENDER AS NECESSIDADES DO MUNICÍPIO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244C8E">
        <w:rPr>
          <w:rFonts w:ascii="Arial" w:hAnsi="Arial" w:cs="Arial"/>
          <w:b/>
        </w:rPr>
        <w:t>AQUISIÇÃO DE MATERIAL ELÉTRICO (ALTA TENSÃO) PARA ATENDER AS NECESSIDADES DO MUNICÍPIO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244C8E">
        <w:rPr>
          <w:rFonts w:ascii="Arial" w:hAnsi="Arial" w:cs="Arial"/>
          <w:iCs/>
        </w:rPr>
        <w:t>AQUISIÇÃO DE MATERIAL ELÉTRICO (ALTA TENSÃO) PARA ATENDER AS NECESSIDADES DO MUNICÍPIO DE CAMPO LARGO DO PIAUÍ - PI</w:t>
      </w:r>
      <w:r w:rsidRPr="00B94860">
        <w:rPr>
          <w:rFonts w:ascii="Arial" w:hAnsi="Arial" w:cs="Arial"/>
        </w:rPr>
        <w:t xml:space="preserve"> (Portaria nº 448, de 13/09/2002), conforme especificações e quantidades constantes do Pregão nº </w:t>
      </w:r>
      <w:r w:rsidR="00244C8E">
        <w:rPr>
          <w:rFonts w:ascii="Arial" w:hAnsi="Arial" w:cs="Arial"/>
        </w:rPr>
        <w:t>024/2017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244C8E">
        <w:rPr>
          <w:rFonts w:ascii="Arial" w:hAnsi="Arial" w:cs="Arial"/>
        </w:rPr>
        <w:t>024/2017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1D" w:rsidRDefault="007B041D" w:rsidP="00AB7EFF">
      <w:r>
        <w:separator/>
      </w:r>
    </w:p>
  </w:endnote>
  <w:endnote w:type="continuationSeparator" w:id="0">
    <w:p w:rsidR="007B041D" w:rsidRDefault="007B041D"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1D" w:rsidRDefault="007B041D" w:rsidP="00AB7EFF">
      <w:r>
        <w:separator/>
      </w:r>
    </w:p>
  </w:footnote>
  <w:footnote w:type="continuationSeparator" w:id="0">
    <w:p w:rsidR="007B041D" w:rsidRDefault="007B041D"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5D2C"/>
    <w:rsid w:val="002276CA"/>
    <w:rsid w:val="00230D87"/>
    <w:rsid w:val="00244C8E"/>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C791C"/>
    <w:rsid w:val="003D34FE"/>
    <w:rsid w:val="003D6DA1"/>
    <w:rsid w:val="003E3450"/>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E4D41"/>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41D"/>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C27799"/>
    <w:rsid w:val="00C31502"/>
    <w:rsid w:val="00C32A0D"/>
    <w:rsid w:val="00C3562A"/>
    <w:rsid w:val="00C35F97"/>
    <w:rsid w:val="00C42F5D"/>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3173-DEF0-4A4A-BEE6-F63EA744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8403</Words>
  <Characters>45379</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4</cp:revision>
  <cp:lastPrinted>2016-02-19T18:48:00Z</cp:lastPrinted>
  <dcterms:created xsi:type="dcterms:W3CDTF">2017-07-12T21:38:00Z</dcterms:created>
  <dcterms:modified xsi:type="dcterms:W3CDTF">2017-07-21T13:28:00Z</dcterms:modified>
</cp:coreProperties>
</file>